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7359540D" w:rsidR="00CB315A" w:rsidRDefault="00015305" w:rsidP="0063140D">
      <w:pPr>
        <w:pStyle w:val="Heading1"/>
        <w:spacing w:after="240"/>
      </w:pPr>
      <w:r w:rsidRPr="00BE1D7E">
        <w:rPr>
          <w:b/>
          <w:bCs/>
        </w:rPr>
        <w:t>Biochemistry and Biophysics</w:t>
      </w:r>
      <w:r>
        <w:t xml:space="preserve"> </w:t>
      </w:r>
      <w:r w:rsidR="007758ED">
        <w:t>Transfer Guide</w:t>
      </w:r>
      <w:r w:rsidR="00BE1D7E">
        <w:t xml:space="preserve"> for</w:t>
      </w:r>
      <w:r w:rsidR="007758ED">
        <w:t xml:space="preserve"> </w:t>
      </w:r>
      <w:r w:rsidR="00F659D9" w:rsidRPr="00F659D9">
        <w:rPr>
          <w:b/>
          <w:bCs/>
        </w:rPr>
        <w:t xml:space="preserve">Southwestern </w:t>
      </w:r>
      <w:r w:rsidR="00106E59" w:rsidRPr="00106E59">
        <w:rPr>
          <w:b/>
          <w:bCs/>
        </w:rPr>
        <w:t xml:space="preserve">Oregon </w:t>
      </w:r>
      <w:r w:rsidR="007758ED" w:rsidRPr="00CB315A">
        <w:rPr>
          <w:b/>
          <w:bCs/>
        </w:rPr>
        <w:t>Community College</w:t>
      </w:r>
    </w:p>
    <w:p w14:paraId="184C3F6D" w14:textId="1E9C4FC0" w:rsidR="00CB315A" w:rsidRDefault="00F81C8A" w:rsidP="00CB315A">
      <w:r>
        <w:rPr>
          <w:b/>
          <w:bCs/>
        </w:rPr>
        <w:t>Major available at</w:t>
      </w:r>
      <w:r w:rsidR="00BE1D7E">
        <w:rPr>
          <w:b/>
          <w:bCs/>
        </w:rPr>
        <w:t>:</w:t>
      </w:r>
      <w:r w:rsidR="00CB315A">
        <w:t xml:space="preserve"> Corvallis</w:t>
      </w:r>
      <w:r w:rsidR="00BE1D7E">
        <w:t xml:space="preserve"> campus</w:t>
      </w:r>
    </w:p>
    <w:p w14:paraId="7F287EC4" w14:textId="6CACBA52" w:rsidR="00B771FA" w:rsidRDefault="00B771FA" w:rsidP="00CB315A">
      <w:r w:rsidRPr="00B771FA">
        <w:rPr>
          <w:b/>
          <w:bCs/>
        </w:rPr>
        <w:t>Last revised</w:t>
      </w:r>
      <w:r>
        <w:t>: Summer 2025</w:t>
      </w:r>
    </w:p>
    <w:p w14:paraId="623ACA47" w14:textId="502D41B2" w:rsidR="00CB315A" w:rsidRPr="00B771FA" w:rsidRDefault="00CB315A" w:rsidP="00B771FA">
      <w:pPr>
        <w:pStyle w:val="Heading2"/>
      </w:pPr>
      <w:r w:rsidRPr="00B771FA">
        <w:t xml:space="preserve">About </w:t>
      </w:r>
      <w:r w:rsidR="00BE1D7E" w:rsidRPr="00B771FA">
        <w:t>this major</w:t>
      </w:r>
    </w:p>
    <w:p w14:paraId="64EA52B3" w14:textId="3FA97002" w:rsidR="00CB315A" w:rsidRDefault="00CB315A" w:rsidP="00CB315A">
      <w:r w:rsidRPr="00CB315A">
        <w:t>Biochemistry &amp; Biophysics provides a degree path centered on the chemistry and physics of life processes with training that integrates the principles of chemistry, physics, mathematics, statistics, biochemistry, cell and molecular biology, and biological sequence analysis. Biochemists explore the chemical structure of living matter and the chemical reactions occurring in living cells. Biophysicists use the methods of physical science to study the structure and function of macromolecules. Biochemistry &amp; Biophysics majors receive excellent training for careers in medicine and related health professions, biotechnology and pharmaceutical industries, or for graduate study. Completion of an option is required to earn a degree in Biochemistry &amp; Biophysics.</w:t>
      </w:r>
    </w:p>
    <w:p w14:paraId="218528D3" w14:textId="24B0A901" w:rsidR="00B771FA" w:rsidRPr="00B771FA" w:rsidRDefault="00B771FA" w:rsidP="00CB315A">
      <w:pPr>
        <w:rPr>
          <w:b/>
          <w:bCs/>
        </w:rPr>
      </w:pPr>
      <w:r w:rsidRPr="00B771FA">
        <w:rPr>
          <w:b/>
          <w:bCs/>
        </w:rPr>
        <w:t xml:space="preserve">Similar majors to explore: </w:t>
      </w:r>
      <w:r w:rsidRPr="00B771FA">
        <w:t xml:space="preserve">Biochemistry &amp; Molecular Biology, Biology </w:t>
      </w:r>
      <w:r>
        <w:t>(g</w:t>
      </w:r>
      <w:r w:rsidRPr="00B771FA">
        <w:t>enetics option</w:t>
      </w:r>
      <w:r>
        <w:t>)</w:t>
      </w:r>
    </w:p>
    <w:p w14:paraId="6514A268" w14:textId="6C1CE961" w:rsidR="00CB315A" w:rsidRDefault="00CB315A" w:rsidP="00B771FA">
      <w:pPr>
        <w:pStyle w:val="Heading2"/>
      </w:pPr>
      <w:r>
        <w:t>Major options</w:t>
      </w:r>
    </w:p>
    <w:p w14:paraId="3BCE4A79" w14:textId="31F83101" w:rsidR="00CB315A" w:rsidRPr="00CB315A" w:rsidRDefault="00CB315A" w:rsidP="00CB315A">
      <w:r>
        <w:t xml:space="preserve">Selecting an option is </w:t>
      </w:r>
      <w:r w:rsidRPr="00F81C8A">
        <w:rPr>
          <w:b/>
          <w:bCs/>
        </w:rPr>
        <w:t>required</w:t>
      </w:r>
      <w:r>
        <w:t xml:space="preserve"> in this major</w:t>
      </w:r>
      <w:r w:rsidR="0063140D">
        <w:t>.</w:t>
      </w:r>
    </w:p>
    <w:p w14:paraId="740BD70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Advanced Biophysics </w:t>
      </w:r>
    </w:p>
    <w:p w14:paraId="0545F86D" w14:textId="77777777" w:rsidR="00CB315A" w:rsidRDefault="00CB315A" w:rsidP="00CB315A">
      <w:pPr>
        <w:pStyle w:val="ListParagraph"/>
        <w:numPr>
          <w:ilvl w:val="0"/>
          <w:numId w:val="1"/>
        </w:numPr>
        <w:spacing w:after="0" w:line="240" w:lineRule="auto"/>
        <w:ind w:right="702"/>
        <w:rPr>
          <w:rFonts w:eastAsia="Times New Roman"/>
          <w:color w:val="000000" w:themeColor="text1"/>
        </w:rPr>
      </w:pPr>
      <w:r w:rsidRPr="719BF37C">
        <w:rPr>
          <w:rFonts w:eastAsia="Times New Roman"/>
          <w:color w:val="000000" w:themeColor="text1"/>
        </w:rPr>
        <w:t xml:space="preserve">Neuroscience </w:t>
      </w:r>
    </w:p>
    <w:p w14:paraId="12325A29" w14:textId="15FFBE57" w:rsidR="00CB315A" w:rsidRPr="00CB315A" w:rsidRDefault="00CB315A" w:rsidP="00CB315A">
      <w:pPr>
        <w:pStyle w:val="ListParagraph"/>
        <w:numPr>
          <w:ilvl w:val="0"/>
          <w:numId w:val="1"/>
        </w:numPr>
      </w:pPr>
      <w:r w:rsidRPr="00CB315A">
        <w:rPr>
          <w:rFonts w:eastAsia="Times New Roman"/>
          <w:color w:val="000000" w:themeColor="text1"/>
        </w:rPr>
        <w:t>Pre-Medicine</w:t>
      </w:r>
    </w:p>
    <w:p w14:paraId="7E1710CF" w14:textId="77777777" w:rsidR="000F68DD" w:rsidRPr="00F01D65" w:rsidRDefault="000F68DD" w:rsidP="000F68DD">
      <w:pPr>
        <w:pStyle w:val="Heading2"/>
      </w:pPr>
      <w:r>
        <w:t>Advising contacts</w:t>
      </w:r>
    </w:p>
    <w:p w14:paraId="55ECBE79" w14:textId="77777777" w:rsidR="000F68DD" w:rsidRDefault="000F68DD" w:rsidP="000F68DD">
      <w:r>
        <w:t>It is important to speak with a College of Science advisor early on, and often, to ensure correct course selection and sequencing.</w:t>
      </w:r>
    </w:p>
    <w:p w14:paraId="765409BC" w14:textId="77777777" w:rsidR="000F68DD" w:rsidRDefault="000F68DD" w:rsidP="000F68DD">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11067313" w14:textId="77777777" w:rsidR="000F68DD" w:rsidRDefault="000F68DD" w:rsidP="000F68DD">
      <w:pPr>
        <w:pStyle w:val="Heading3"/>
      </w:pPr>
      <w:r>
        <w:lastRenderedPageBreak/>
        <w:t>Your contacts</w:t>
      </w:r>
    </w:p>
    <w:p w14:paraId="03C43AB2" w14:textId="18E51F87" w:rsidR="00750401" w:rsidRDefault="00F659D9" w:rsidP="00750401">
      <w:pPr>
        <w:pStyle w:val="ListParagraph"/>
        <w:numPr>
          <w:ilvl w:val="0"/>
          <w:numId w:val="4"/>
        </w:numPr>
      </w:pPr>
      <w:hyperlink r:id="rId7" w:history="1">
        <w:r>
          <w:rPr>
            <w:rStyle w:val="Hyperlink"/>
          </w:rPr>
          <w:t>Southwestern Oregon Community College Advising</w:t>
        </w:r>
      </w:hyperlink>
    </w:p>
    <w:p w14:paraId="2FF5DA14" w14:textId="77777777" w:rsidR="000F68DD" w:rsidRDefault="000F68DD" w:rsidP="000F68DD">
      <w:pPr>
        <w:pStyle w:val="ListParagraph"/>
        <w:numPr>
          <w:ilvl w:val="0"/>
          <w:numId w:val="4"/>
        </w:numPr>
      </w:pPr>
      <w:r>
        <w:t xml:space="preserve">College of Science Transfer Questions: </w:t>
      </w:r>
      <w:hyperlink r:id="rId8" w:history="1">
        <w:r>
          <w:rPr>
            <w:rStyle w:val="Hyperlink"/>
            <w:rFonts w:cstheme="minorHAnsi"/>
          </w:rPr>
          <w:t>COS-TransferQuestions@oregonstate.edu</w:t>
        </w:r>
      </w:hyperlink>
    </w:p>
    <w:p w14:paraId="05BC075D" w14:textId="77777777" w:rsidR="000F68DD" w:rsidRDefault="000F68DD" w:rsidP="000F68DD">
      <w:pPr>
        <w:pStyle w:val="ListParagraph"/>
        <w:numPr>
          <w:ilvl w:val="0"/>
          <w:numId w:val="4"/>
        </w:numPr>
      </w:pPr>
      <w:r>
        <w:t xml:space="preserve">Science Success Center (general questions): </w:t>
      </w:r>
      <w:hyperlink r:id="rId9"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197322F3" w14:textId="77777777" w:rsidR="000F68DD" w:rsidRPr="006D5E37" w:rsidRDefault="000F68DD" w:rsidP="000F68DD">
      <w:pPr>
        <w:pStyle w:val="ListParagraph"/>
        <w:numPr>
          <w:ilvl w:val="0"/>
          <w:numId w:val="4"/>
        </w:numPr>
      </w:pPr>
      <w:hyperlink r:id="rId10" w:history="1">
        <w:r w:rsidRPr="006D5E37">
          <w:rPr>
            <w:rStyle w:val="Hyperlink"/>
          </w:rPr>
          <w:t>OSU Biochemistry &amp; Biophysics Website</w:t>
        </w:r>
      </w:hyperlink>
    </w:p>
    <w:p w14:paraId="5A764F80" w14:textId="5B24333A" w:rsidR="00CB315A" w:rsidRDefault="00CB315A" w:rsidP="00B771FA">
      <w:pPr>
        <w:pStyle w:val="Heading2"/>
      </w:pPr>
      <w:r>
        <w:t xml:space="preserve">Earning a </w:t>
      </w:r>
      <w:r w:rsidR="00BE1D7E">
        <w:t>bachelor’s degree</w:t>
      </w:r>
      <w:r>
        <w:t xml:space="preserve"> (B.S.) in the College of Science</w:t>
      </w:r>
    </w:p>
    <w:p w14:paraId="10B9A913" w14:textId="77777777" w:rsidR="00B771FA" w:rsidRPr="00CB315A" w:rsidRDefault="00B771FA" w:rsidP="00B771FA">
      <w:pPr>
        <w:pStyle w:val="ListParagraph"/>
        <w:numPr>
          <w:ilvl w:val="0"/>
          <w:numId w:val="2"/>
        </w:numPr>
      </w:pPr>
      <w:hyperlink r:id="rId11" w:anchor="sampleplantext">
        <w:r w:rsidRPr="719BF37C">
          <w:rPr>
            <w:rStyle w:val="Hyperlink"/>
          </w:rPr>
          <w:t xml:space="preserve">Biochemistry &amp; Biophysics Sample </w:t>
        </w:r>
        <w:r>
          <w:rPr>
            <w:rStyle w:val="Hyperlink"/>
          </w:rPr>
          <w:t xml:space="preserve">Degree </w:t>
        </w:r>
        <w:r w:rsidRPr="719BF37C">
          <w:rPr>
            <w:rStyle w:val="Hyperlink"/>
          </w:rPr>
          <w:t>Plan</w:t>
        </w:r>
      </w:hyperlink>
    </w:p>
    <w:p w14:paraId="6287C8EC" w14:textId="506988E8" w:rsidR="00CB315A" w:rsidRDefault="00CB315A" w:rsidP="00BE1D7E">
      <w:pPr>
        <w:pStyle w:val="ListParagraph"/>
        <w:numPr>
          <w:ilvl w:val="0"/>
          <w:numId w:val="2"/>
        </w:numPr>
      </w:pPr>
      <w:r w:rsidRPr="00CB315A">
        <w:t xml:space="preserve">A minimum of 180 credits </w:t>
      </w:r>
      <w:r w:rsidR="00BE1D7E" w:rsidRPr="00CB315A">
        <w:t>is</w:t>
      </w:r>
      <w:r w:rsidRPr="00CB315A">
        <w:t xml:space="preserve"> required for graduation</w:t>
      </w:r>
      <w:r w:rsidR="004F4ACB">
        <w:t xml:space="preserve">. </w:t>
      </w:r>
      <w:r w:rsidRPr="00CB315A">
        <w:t>60 must be upper division (300 and 400-level courses).</w:t>
      </w:r>
    </w:p>
    <w:p w14:paraId="0E33F8D4" w14:textId="66552261" w:rsidR="00CB315A" w:rsidRPr="00CB315A" w:rsidRDefault="00CB315A" w:rsidP="00BE1D7E">
      <w:pPr>
        <w:pStyle w:val="ListParagraph"/>
        <w:numPr>
          <w:ilvl w:val="0"/>
          <w:numId w:val="2"/>
        </w:numPr>
      </w:pPr>
      <w:r w:rsidRPr="00CB315A">
        <w:t>A maximum of 135 transfer credits may be applied toward a</w:t>
      </w:r>
      <w:r w:rsidR="008A4C2C">
        <w:t xml:space="preserve"> </w:t>
      </w:r>
      <w:r w:rsidRPr="00CB315A">
        <w:t>bachelor’s degree</w:t>
      </w:r>
      <w:r w:rsidR="008A4C2C">
        <w:t>.</w:t>
      </w:r>
    </w:p>
    <w:p w14:paraId="7ADD907D" w14:textId="77777777" w:rsidR="00CB315A" w:rsidRDefault="00CB315A" w:rsidP="00BE1D7E">
      <w:pPr>
        <w:pStyle w:val="ListParagraph"/>
        <w:numPr>
          <w:ilvl w:val="0"/>
          <w:numId w:val="2"/>
        </w:numPr>
      </w:pPr>
      <w:r w:rsidRPr="00CB315A">
        <w:t>Only courses with letter prefixes and numbers above 100 can be accepted.</w:t>
      </w:r>
    </w:p>
    <w:p w14:paraId="0DCC2744" w14:textId="49C0A866" w:rsidR="006E6DAA" w:rsidRDefault="006E6DAA" w:rsidP="006E6DA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2"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4D2D56BC" w:rsidR="00395BFB" w:rsidRDefault="00395BFB" w:rsidP="000F68DD">
      <w:pPr>
        <w:pStyle w:val="Heading3"/>
      </w:pPr>
      <w:r>
        <w:t>Bachelor’s degree breakdown</w:t>
      </w:r>
    </w:p>
    <w:p w14:paraId="671BF96B" w14:textId="19341E3E" w:rsidR="00395BFB" w:rsidRDefault="00395BFB" w:rsidP="00395BFB">
      <w:pPr>
        <w:pStyle w:val="ListParagraph"/>
        <w:numPr>
          <w:ilvl w:val="0"/>
          <w:numId w:val="2"/>
        </w:numPr>
      </w:pPr>
      <w:r>
        <w:t xml:space="preserve">55% major requirements, 25% </w:t>
      </w:r>
      <w:r w:rsidR="00893503">
        <w:t xml:space="preserve">core education </w:t>
      </w:r>
      <w:r>
        <w:t xml:space="preserve">and 20% </w:t>
      </w:r>
      <w:r w:rsidR="00B771FA">
        <w:t>electives</w:t>
      </w:r>
      <w:r>
        <w:t>/</w:t>
      </w:r>
      <w:r w:rsidR="00B771FA">
        <w:t>options</w:t>
      </w:r>
      <w:r>
        <w:t xml:space="preserve">. </w:t>
      </w:r>
    </w:p>
    <w:p w14:paraId="45E45BD3" w14:textId="2268390C" w:rsidR="000F68DD" w:rsidRDefault="00395BFB" w:rsidP="000F68DD">
      <w:pPr>
        <w:pStyle w:val="ListParagraph"/>
        <w:numPr>
          <w:ilvl w:val="0"/>
          <w:numId w:val="2"/>
        </w:numPr>
      </w:pPr>
      <w:r>
        <w:t>Another way to visualize this is:</w:t>
      </w:r>
      <w:r w:rsidR="0002453F">
        <w:br/>
      </w:r>
      <w:r w:rsidR="00716DDB" w:rsidRPr="007A5066">
        <w:rPr>
          <w:noProof/>
        </w:rPr>
        <w:drawing>
          <wp:inline distT="0" distB="0" distL="0" distR="0" wp14:anchorId="4505496E" wp14:editId="47B9CF8B">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3994156" w14:textId="7A97B5D3" w:rsidR="00336441" w:rsidRDefault="00336441" w:rsidP="00336441">
      <w:pPr>
        <w:pStyle w:val="Heading2"/>
      </w:pPr>
      <w:r>
        <w:t xml:space="preserve">Major courses offered at </w:t>
      </w:r>
      <w:r w:rsidR="00F659D9">
        <w:t>SOCC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3391D1E7" w:rsidR="001A4A6F" w:rsidRDefault="00B771FA" w:rsidP="008A4C2C">
      <w:r w:rsidRPr="00B771FA">
        <w:t xml:space="preserve">Math, </w:t>
      </w:r>
      <w:r w:rsidR="00D45052">
        <w:t xml:space="preserve">chemistry, </w:t>
      </w:r>
      <w:r>
        <w:t>b</w:t>
      </w:r>
      <w:r w:rsidRPr="00B771FA">
        <w:t>iology and some Core Education are priority courses to complete before transferring to OSU.</w:t>
      </w:r>
      <w:r w:rsidR="004F1ADF" w:rsidRPr="004F1ADF">
        <w:t xml:space="preserve"> </w:t>
      </w:r>
    </w:p>
    <w:p w14:paraId="0C9CF473" w14:textId="77777777" w:rsidR="00DD79A9" w:rsidRDefault="00DD79A9" w:rsidP="00DD79A9">
      <w:pPr>
        <w:pStyle w:val="Heading3"/>
      </w:pPr>
      <w:r>
        <w:t xml:space="preserve">Major requirement: Mathematics (priority </w:t>
      </w:r>
      <w:r w:rsidRPr="00107530">
        <w:t>courses</w:t>
      </w:r>
      <w:r>
        <w:t>)</w:t>
      </w:r>
    </w:p>
    <w:p w14:paraId="7C5A8B4F" w14:textId="62CC71D0" w:rsidR="00DD79A9" w:rsidRDefault="00DD79A9" w:rsidP="00DD79A9">
      <w:r>
        <w:t xml:space="preserve">Math placement determines where students begin. Please speak to your </w:t>
      </w:r>
      <w:r w:rsidR="00F659D9">
        <w:t>SOCC</w:t>
      </w:r>
      <w:r w:rsidR="00106E59" w:rsidRPr="00106E59">
        <w:t xml:space="preserve"> </w:t>
      </w:r>
      <w:r>
        <w:t xml:space="preserve">advisor. </w:t>
      </w:r>
    </w:p>
    <w:p w14:paraId="798C80A6" w14:textId="3FF91A84" w:rsidR="00DD79A9" w:rsidRDefault="00DD79A9" w:rsidP="00DD79A9">
      <w:pPr>
        <w:pStyle w:val="ListParagraph"/>
        <w:numPr>
          <w:ilvl w:val="0"/>
          <w:numId w:val="4"/>
        </w:numPr>
      </w:pPr>
      <w:r w:rsidRPr="00DD79A9">
        <w:rPr>
          <w:b/>
          <w:bCs/>
        </w:rPr>
        <w:lastRenderedPageBreak/>
        <w:t>Equivalent courses</w:t>
      </w:r>
      <w:r>
        <w:t>: MTH 111Z, 112Z, 251Z, 252Z, 254</w:t>
      </w:r>
    </w:p>
    <w:p w14:paraId="1E30501A" w14:textId="77777777" w:rsidR="00DD79A9" w:rsidRDefault="00DD79A9" w:rsidP="00DD79A9">
      <w:pPr>
        <w:pStyle w:val="Heading3"/>
      </w:pPr>
      <w:r>
        <w:t>Major requirement: General Chemistry (priority courses)</w:t>
      </w:r>
    </w:p>
    <w:p w14:paraId="75D1B6E3" w14:textId="77D1374E" w:rsidR="00DD79A9" w:rsidRDefault="00DD79A9" w:rsidP="00DD79A9">
      <w:pPr>
        <w:pStyle w:val="ListParagraph"/>
        <w:numPr>
          <w:ilvl w:val="0"/>
          <w:numId w:val="4"/>
        </w:numPr>
      </w:pPr>
      <w:r w:rsidRPr="00DD79A9">
        <w:rPr>
          <w:b/>
          <w:bCs/>
        </w:rPr>
        <w:t>Equivalent courses</w:t>
      </w:r>
      <w:r>
        <w:t xml:space="preserve">: </w:t>
      </w:r>
      <w:r w:rsidRPr="00873CEE">
        <w:t>CH</w:t>
      </w:r>
      <w:r w:rsidR="00F659D9">
        <w:t xml:space="preserve">EM </w:t>
      </w:r>
      <w:r w:rsidRPr="00873CEE">
        <w:t>221Z/227Z, 222Z/228Z, 223Z/229Z</w:t>
      </w:r>
    </w:p>
    <w:p w14:paraId="096211BD" w14:textId="77777777" w:rsidR="00DD79A9" w:rsidRDefault="00DD79A9" w:rsidP="00DD79A9">
      <w:pPr>
        <w:pStyle w:val="Heading3"/>
      </w:pPr>
      <w:r>
        <w:t>Major requirement: Biology (priority courses)</w:t>
      </w:r>
    </w:p>
    <w:p w14:paraId="124F2919" w14:textId="77777777" w:rsidR="00DD79A9" w:rsidRDefault="00DD79A9" w:rsidP="00DD79A9">
      <w:r w:rsidRPr="00B771FA">
        <w:t>Courses in Biology sequence now transfer by course.</w:t>
      </w:r>
      <w:r>
        <w:t xml:space="preserve"> If you have taken</w:t>
      </w:r>
      <w:r w:rsidRPr="00B771FA">
        <w:t xml:space="preserve"> BI 211, 212</w:t>
      </w:r>
      <w:r>
        <w:t xml:space="preserve"> and </w:t>
      </w:r>
      <w:r w:rsidRPr="00B771FA">
        <w:t>213</w:t>
      </w:r>
      <w:r>
        <w:t>, the full sequence is required for transfer.</w:t>
      </w:r>
    </w:p>
    <w:p w14:paraId="4186E0E1" w14:textId="35522731" w:rsidR="00DD79A9" w:rsidRDefault="00DD79A9" w:rsidP="00DD79A9">
      <w:pPr>
        <w:pStyle w:val="ListParagraph"/>
        <w:numPr>
          <w:ilvl w:val="0"/>
          <w:numId w:val="4"/>
        </w:numPr>
      </w:pPr>
      <w:r w:rsidRPr="00DD79A9">
        <w:rPr>
          <w:b/>
          <w:bCs/>
        </w:rPr>
        <w:t>Equivalent courses</w:t>
      </w:r>
      <w:r>
        <w:t xml:space="preserve">: </w:t>
      </w:r>
      <w:r w:rsidRPr="00B771FA">
        <w:t>BI 221Z, 222Z, 223Z</w:t>
      </w:r>
    </w:p>
    <w:p w14:paraId="71E5B96E" w14:textId="77777777" w:rsidR="00DD79A9" w:rsidRDefault="00DD79A9" w:rsidP="00DD79A9">
      <w:pPr>
        <w:pStyle w:val="Heading3"/>
      </w:pPr>
      <w:r>
        <w:t>Major requirement: Organic Chemistry</w:t>
      </w:r>
    </w:p>
    <w:p w14:paraId="1507B849" w14:textId="77777777" w:rsidR="00DD79A9" w:rsidRDefault="00DD79A9" w:rsidP="00DD79A9">
      <w:r>
        <w:t>Students who complete the full Organic Chemistry sequence with a grade of C or better and pass the ACS Organic Chemistry Exam can consider the following series equivalent.</w:t>
      </w:r>
    </w:p>
    <w:p w14:paraId="0163B851" w14:textId="2ED961BA" w:rsidR="002C662F" w:rsidRDefault="00F659D9" w:rsidP="002C662F">
      <w:pPr>
        <w:pStyle w:val="ListParagraph"/>
        <w:numPr>
          <w:ilvl w:val="0"/>
          <w:numId w:val="4"/>
        </w:numPr>
      </w:pPr>
      <w:r>
        <w:rPr>
          <w:b/>
          <w:bCs/>
        </w:rPr>
        <w:t>SOCC</w:t>
      </w:r>
      <w:r w:rsidR="002C662F" w:rsidRPr="009D6B60">
        <w:rPr>
          <w:b/>
          <w:bCs/>
        </w:rPr>
        <w:t xml:space="preserve"> sequence</w:t>
      </w:r>
      <w:r w:rsidR="002C662F">
        <w:t>: CH</w:t>
      </w:r>
      <w:r>
        <w:t>EM</w:t>
      </w:r>
      <w:r w:rsidR="002C662F">
        <w:t xml:space="preserve"> 24</w:t>
      </w:r>
      <w:r>
        <w:t>5</w:t>
      </w:r>
      <w:r w:rsidR="002C662F">
        <w:t>, 24</w:t>
      </w:r>
      <w:r>
        <w:t>6</w:t>
      </w:r>
      <w:r w:rsidR="002C662F">
        <w:t>, 24</w:t>
      </w:r>
      <w:r>
        <w:t>7</w:t>
      </w:r>
    </w:p>
    <w:p w14:paraId="5CBDF237" w14:textId="3D7D77E5" w:rsidR="004C0CD1" w:rsidRDefault="00DD79A9" w:rsidP="00DD79A9">
      <w:pPr>
        <w:pStyle w:val="ListParagraph"/>
        <w:numPr>
          <w:ilvl w:val="0"/>
          <w:numId w:val="4"/>
        </w:numPr>
      </w:pPr>
      <w:r w:rsidRPr="002922F6">
        <w:rPr>
          <w:b/>
          <w:bCs/>
        </w:rPr>
        <w:t>Equivalent OSU sequence</w:t>
      </w:r>
      <w:r>
        <w:t xml:space="preserve">: CH </w:t>
      </w:r>
      <w:r w:rsidR="002E10C5">
        <w:t>334, 335, 336</w:t>
      </w:r>
    </w:p>
    <w:p w14:paraId="46EC4DE5" w14:textId="70160E39" w:rsidR="00DD79A9" w:rsidRDefault="00DD79A9" w:rsidP="00DD79A9">
      <w:pPr>
        <w:pStyle w:val="Heading3"/>
      </w:pPr>
      <w:r>
        <w:t>Additional major requirements</w:t>
      </w:r>
    </w:p>
    <w:p w14:paraId="388E51FE" w14:textId="6ED7D0D6" w:rsidR="00DD79A9" w:rsidRPr="00DD79A9" w:rsidRDefault="00DD79A9" w:rsidP="00DD79A9">
      <w:pPr>
        <w:pStyle w:val="ListParagraph"/>
        <w:numPr>
          <w:ilvl w:val="0"/>
          <w:numId w:val="4"/>
        </w:numPr>
      </w:pPr>
      <w:r w:rsidRPr="00DD79A9">
        <w:rPr>
          <w:b/>
          <w:bCs/>
        </w:rPr>
        <w:t>Physics equivalent courses</w:t>
      </w:r>
      <w:r>
        <w:t>: PH 2</w:t>
      </w:r>
      <w:r w:rsidR="00FF7727">
        <w:t>1</w:t>
      </w:r>
      <w:r>
        <w:t>1, 2</w:t>
      </w:r>
      <w:r w:rsidR="00FF7727">
        <w:t>1</w:t>
      </w:r>
      <w:r>
        <w:t>2, 2</w:t>
      </w:r>
      <w:r w:rsidR="00FF7727">
        <w:t>1</w:t>
      </w:r>
      <w:r>
        <w:t>3</w:t>
      </w:r>
    </w:p>
    <w:p w14:paraId="4694F83D" w14:textId="1BC22C20" w:rsidR="00B771FA" w:rsidRDefault="006D5E37" w:rsidP="006D5E37">
      <w:pPr>
        <w:pStyle w:val="Heading2"/>
      </w:pPr>
      <w:r>
        <w:t xml:space="preserve">Core </w:t>
      </w:r>
      <w:r w:rsidR="000F68DD">
        <w:t>E</w:t>
      </w:r>
      <w:r>
        <w:t>ducation requirements</w:t>
      </w:r>
    </w:p>
    <w:p w14:paraId="7E416D8C" w14:textId="55485935" w:rsidR="006D5E37" w:rsidRPr="006D5E37" w:rsidRDefault="006D5E37" w:rsidP="006D5E37">
      <w:r w:rsidRPr="006D5E37">
        <w:t>Core Education (“Core Ed”)</w:t>
      </w:r>
      <w:r>
        <w:t xml:space="preserve"> includes </w:t>
      </w:r>
      <w:r w:rsidRPr="006D5E37">
        <w:t xml:space="preserve">the general education requirements for students admitted to OSU </w:t>
      </w:r>
      <w:r w:rsidRPr="006D5E37">
        <w:rPr>
          <w:b/>
          <w:bCs/>
        </w:rPr>
        <w:t>Summer 2025 and onward</w:t>
      </w:r>
      <w:r w:rsidRPr="006D5E37">
        <w:t>. Students admitted Spring 2025 and earlier should refer to the Baccalaureate Core and/or their advisor for guidance.</w:t>
      </w:r>
    </w:p>
    <w:p w14:paraId="37E495BC" w14:textId="77777777" w:rsidR="00D21BFB" w:rsidRDefault="00D21BFB" w:rsidP="00D21BFB">
      <w:pPr>
        <w:pStyle w:val="Heading3"/>
      </w:pPr>
      <w:r>
        <w:t>Core Ed course search</w:t>
      </w:r>
    </w:p>
    <w:p w14:paraId="3AD3FF3A" w14:textId="2F352FAA" w:rsidR="00106E59" w:rsidRPr="00E73A59" w:rsidRDefault="00106E59" w:rsidP="00106E59">
      <w:pPr>
        <w:rPr>
          <w:rFonts w:ascii="Aptos" w:eastAsia="Aptos" w:hAnsi="Aptos" w:cs="Aptos"/>
          <w:color w:val="000000" w:themeColor="text1"/>
        </w:rPr>
      </w:pPr>
      <w:hyperlink r:id="rId14">
        <w:r w:rsidRPr="00E73A59">
          <w:rPr>
            <w:rStyle w:val="Hyperlink"/>
            <w:rFonts w:ascii="Aptos" w:eastAsia="Aptos" w:hAnsi="Aptos" w:cs="Aptos"/>
          </w:rPr>
          <w:t xml:space="preserve">See </w:t>
        </w:r>
        <w:r w:rsidR="00B37CC3">
          <w:rPr>
            <w:rStyle w:val="Hyperlink"/>
            <w:rFonts w:ascii="Aptos" w:eastAsia="Aptos" w:hAnsi="Aptos" w:cs="Aptos"/>
          </w:rPr>
          <w:t>transferable</w:t>
        </w:r>
        <w:r w:rsidRPr="00E73A59">
          <w:rPr>
            <w:rStyle w:val="Hyperlink"/>
            <w:rFonts w:ascii="Aptos" w:eastAsia="Aptos" w:hAnsi="Aptos" w:cs="Aptos"/>
          </w:rPr>
          <w:t xml:space="preserve"> </w:t>
        </w:r>
        <w:r w:rsidR="00F659D9">
          <w:rPr>
            <w:rStyle w:val="Hyperlink"/>
            <w:rFonts w:ascii="Aptos" w:eastAsia="Aptos" w:hAnsi="Aptos" w:cs="Aptos"/>
          </w:rPr>
          <w:t>SOCC</w:t>
        </w:r>
        <w:r w:rsidRPr="00E73A59">
          <w:rPr>
            <w:rStyle w:val="Hyperlink"/>
            <w:rFonts w:ascii="Aptos" w:eastAsia="Aptos" w:hAnsi="Aptos" w:cs="Aptos"/>
          </w:rPr>
          <w:t xml:space="preserve"> courses that fulfill Core Ed requirements</w:t>
        </w:r>
      </w:hyperlink>
      <w:r w:rsidR="002D7C30">
        <w:t>.</w:t>
      </w:r>
    </w:p>
    <w:p w14:paraId="49E3F7E6" w14:textId="77777777" w:rsidR="00D21BFB" w:rsidRDefault="00D21BFB" w:rsidP="00D21BFB">
      <w:pPr>
        <w:pStyle w:val="Heading3"/>
      </w:pPr>
      <w:r>
        <w:t>Foundational core</w:t>
      </w:r>
    </w:p>
    <w:p w14:paraId="49AA04AD" w14:textId="77777777" w:rsidR="00D21BFB" w:rsidRPr="00640934" w:rsidRDefault="00D21BFB" w:rsidP="00D21BFB">
      <w:pPr>
        <w:pStyle w:val="ListParagraph"/>
        <w:numPr>
          <w:ilvl w:val="0"/>
          <w:numId w:val="7"/>
        </w:numPr>
        <w:rPr>
          <w:b/>
          <w:bCs/>
        </w:rPr>
      </w:pPr>
      <w:r>
        <w:t xml:space="preserve">Writing Foundations — </w:t>
      </w:r>
      <w:r w:rsidRPr="00640934">
        <w:rPr>
          <w:b/>
          <w:bCs/>
        </w:rPr>
        <w:t>WR 121Z</w:t>
      </w:r>
    </w:p>
    <w:p w14:paraId="1A823DB0" w14:textId="07811875" w:rsidR="00D21BFB" w:rsidRPr="00640934" w:rsidRDefault="00D21BFB" w:rsidP="00D21BFB">
      <w:pPr>
        <w:pStyle w:val="ListParagraph"/>
        <w:numPr>
          <w:ilvl w:val="0"/>
          <w:numId w:val="7"/>
        </w:numPr>
        <w:rPr>
          <w:b/>
          <w:bCs/>
        </w:rPr>
      </w:pPr>
      <w:r>
        <w:t xml:space="preserve">Arts and Humanities: General — </w:t>
      </w:r>
      <w:r w:rsidRPr="00640934">
        <w:rPr>
          <w:b/>
          <w:bCs/>
        </w:rPr>
        <w:t xml:space="preserve">Many </w:t>
      </w:r>
      <w:r w:rsidR="00B37CC3">
        <w:rPr>
          <w:b/>
          <w:bCs/>
        </w:rPr>
        <w:t>transferable</w:t>
      </w:r>
      <w:r w:rsidRPr="00640934">
        <w:rPr>
          <w:b/>
          <w:bCs/>
        </w:rPr>
        <w:t xml:space="preserve"> courses</w:t>
      </w:r>
    </w:p>
    <w:p w14:paraId="11853E71" w14:textId="0FB596D2" w:rsidR="00D21BFB" w:rsidRPr="00640934" w:rsidRDefault="00D21BFB" w:rsidP="00D21BFB">
      <w:pPr>
        <w:pStyle w:val="ListParagraph"/>
        <w:numPr>
          <w:ilvl w:val="0"/>
          <w:numId w:val="7"/>
        </w:numPr>
        <w:rPr>
          <w:b/>
          <w:bCs/>
        </w:rPr>
      </w:pPr>
      <w:r>
        <w:t xml:space="preserve">Arts and Humanities: Global — </w:t>
      </w:r>
      <w:r w:rsidRPr="00640934">
        <w:rPr>
          <w:b/>
          <w:bCs/>
        </w:rPr>
        <w:t xml:space="preserve">Many </w:t>
      </w:r>
      <w:r w:rsidR="00B37CC3">
        <w:rPr>
          <w:b/>
          <w:bCs/>
        </w:rPr>
        <w:t>transferable</w:t>
      </w:r>
      <w:r w:rsidRPr="00640934">
        <w:rPr>
          <w:b/>
          <w:bCs/>
        </w:rPr>
        <w:t xml:space="preserve"> courses</w:t>
      </w:r>
    </w:p>
    <w:p w14:paraId="3FB91CB0" w14:textId="07305779" w:rsidR="00D21BFB" w:rsidRDefault="00D21BFB" w:rsidP="00D21BFB">
      <w:pPr>
        <w:pStyle w:val="ListParagraph"/>
        <w:numPr>
          <w:ilvl w:val="0"/>
          <w:numId w:val="7"/>
        </w:numPr>
      </w:pPr>
      <w:r>
        <w:t xml:space="preserve">Quantitative Literacy and Analysis — Fulfilled by major </w:t>
      </w:r>
      <w:r w:rsidR="00453121" w:rsidRPr="00453121">
        <w:t>courses</w:t>
      </w:r>
    </w:p>
    <w:p w14:paraId="338E809E" w14:textId="5919482A" w:rsidR="006D5E37" w:rsidRDefault="00D21BFB" w:rsidP="00D21BFB">
      <w:pPr>
        <w:pStyle w:val="ListParagraph"/>
        <w:numPr>
          <w:ilvl w:val="0"/>
          <w:numId w:val="7"/>
        </w:numPr>
      </w:pPr>
      <w:r>
        <w:t xml:space="preserve">Communication, Media and Society — </w:t>
      </w:r>
      <w:r w:rsidRPr="00640934">
        <w:rPr>
          <w:b/>
          <w:bCs/>
        </w:rPr>
        <w:t xml:space="preserve">Many </w:t>
      </w:r>
      <w:r w:rsidR="00B37CC3">
        <w:rPr>
          <w:b/>
          <w:bCs/>
        </w:rPr>
        <w:t>transferable</w:t>
      </w:r>
      <w:r w:rsidRPr="00640934">
        <w:rPr>
          <w:b/>
          <w:bCs/>
        </w:rPr>
        <w:t xml:space="preserve"> courses</w:t>
      </w:r>
    </w:p>
    <w:p w14:paraId="47A805D8" w14:textId="22F9E1EC" w:rsidR="00536193" w:rsidRPr="00536193" w:rsidRDefault="006D5E37" w:rsidP="006D5E37">
      <w:pPr>
        <w:pStyle w:val="ListParagraph"/>
        <w:numPr>
          <w:ilvl w:val="0"/>
          <w:numId w:val="7"/>
        </w:numPr>
      </w:pPr>
      <w:r>
        <w:t xml:space="preserve">Social Science — </w:t>
      </w:r>
      <w:r w:rsidR="00536193" w:rsidRPr="00640934">
        <w:rPr>
          <w:b/>
          <w:bCs/>
        </w:rPr>
        <w:t xml:space="preserve">Many </w:t>
      </w:r>
      <w:r w:rsidR="00B37CC3">
        <w:rPr>
          <w:b/>
          <w:bCs/>
        </w:rPr>
        <w:t>transferable</w:t>
      </w:r>
      <w:r w:rsidR="00536193" w:rsidRPr="00640934">
        <w:rPr>
          <w:b/>
          <w:bCs/>
        </w:rPr>
        <w:t xml:space="preserve"> courses</w:t>
      </w:r>
    </w:p>
    <w:p w14:paraId="7CE8FD58" w14:textId="6CC7CA47" w:rsidR="006D5E37" w:rsidRDefault="00536193" w:rsidP="00536193">
      <w:pPr>
        <w:pStyle w:val="ListParagraph"/>
        <w:numPr>
          <w:ilvl w:val="1"/>
          <w:numId w:val="7"/>
        </w:numPr>
      </w:pPr>
      <w:r>
        <w:t xml:space="preserve">Pre-Med and Neuroscience: </w:t>
      </w:r>
      <w:r w:rsidR="006D5E37" w:rsidRPr="00536193">
        <w:t>PSY 201Z or PSY 202Z recommended</w:t>
      </w:r>
    </w:p>
    <w:p w14:paraId="114C11E8" w14:textId="2C3D2EBD" w:rsidR="006D5E37" w:rsidRDefault="006D5E37" w:rsidP="006D5E37">
      <w:pPr>
        <w:pStyle w:val="ListParagraph"/>
        <w:numPr>
          <w:ilvl w:val="0"/>
          <w:numId w:val="7"/>
        </w:numPr>
      </w:pPr>
      <w:r>
        <w:lastRenderedPageBreak/>
        <w:t xml:space="preserve">Scientific Inquiry and Analysis — Fulfilled by major </w:t>
      </w:r>
      <w:r w:rsidR="00453121" w:rsidRPr="00453121">
        <w:t>courses</w:t>
      </w:r>
    </w:p>
    <w:p w14:paraId="2FC80768" w14:textId="738FC38A" w:rsidR="00043C76" w:rsidRPr="00DF4B63" w:rsidRDefault="006D5E37" w:rsidP="00DF4B63">
      <w:pPr>
        <w:pStyle w:val="ListParagraph"/>
        <w:numPr>
          <w:ilvl w:val="0"/>
          <w:numId w:val="7"/>
        </w:numPr>
      </w:pPr>
      <w:r>
        <w:t xml:space="preserve">Difference, Power and Oppression Foundations — </w:t>
      </w:r>
      <w:r w:rsidR="00D21BFB" w:rsidRPr="00640934">
        <w:rPr>
          <w:b/>
          <w:bCs/>
        </w:rPr>
        <w:t xml:space="preserve">Many </w:t>
      </w:r>
      <w:r w:rsidR="00B37CC3">
        <w:rPr>
          <w:b/>
          <w:bCs/>
        </w:rPr>
        <w:t>transferable</w:t>
      </w:r>
      <w:r w:rsidR="00D21BFB" w:rsidRPr="00640934">
        <w:rPr>
          <w:b/>
          <w:bCs/>
        </w:rPr>
        <w:t xml:space="preserve"> courses</w:t>
      </w:r>
    </w:p>
    <w:p w14:paraId="2FADB5CB" w14:textId="015833CE" w:rsidR="006D5E37" w:rsidRDefault="006D5E37" w:rsidP="00107530">
      <w:pPr>
        <w:pStyle w:val="Heading3"/>
      </w:pPr>
      <w:r>
        <w:t>Signature Core</w:t>
      </w:r>
    </w:p>
    <w:p w14:paraId="3623F4E7" w14:textId="15CB65D7" w:rsidR="006D5E37" w:rsidRDefault="006D5E37" w:rsidP="006D5E37">
      <w:pPr>
        <w:pStyle w:val="ListParagraph"/>
        <w:numPr>
          <w:ilvl w:val="0"/>
          <w:numId w:val="8"/>
        </w:numPr>
      </w:pPr>
      <w:r>
        <w:t xml:space="preserve">Transitions — </w:t>
      </w:r>
      <w:r w:rsidR="00CD24B8">
        <w:t>Take at OSU</w:t>
      </w:r>
    </w:p>
    <w:p w14:paraId="1C7718B0" w14:textId="48564706" w:rsidR="006D5E37" w:rsidRDefault="006D5E37" w:rsidP="006D5E37">
      <w:pPr>
        <w:pStyle w:val="ListParagraph"/>
        <w:numPr>
          <w:ilvl w:val="0"/>
          <w:numId w:val="8"/>
        </w:numPr>
      </w:pPr>
      <w:r>
        <w:t xml:space="preserve">Difference, Power and Oppression Advanced — </w:t>
      </w:r>
      <w:r w:rsidR="00CD24B8">
        <w:t>Take at OSU</w:t>
      </w:r>
    </w:p>
    <w:p w14:paraId="1FFAD874" w14:textId="42E09EBE" w:rsidR="006D5E37" w:rsidRDefault="006D5E37" w:rsidP="006D5E37">
      <w:pPr>
        <w:pStyle w:val="ListParagraph"/>
        <w:numPr>
          <w:ilvl w:val="0"/>
          <w:numId w:val="8"/>
        </w:numPr>
      </w:pPr>
      <w:r>
        <w:t xml:space="preserve">Seeking Solutions — </w:t>
      </w:r>
      <w:r w:rsidR="00CD24B8">
        <w:t>Take at OSU</w:t>
      </w:r>
    </w:p>
    <w:p w14:paraId="754E9CAD" w14:textId="299B4400" w:rsidR="006D5E37" w:rsidRDefault="006D5E37" w:rsidP="006D5E37">
      <w:pPr>
        <w:pStyle w:val="ListParagraph"/>
        <w:numPr>
          <w:ilvl w:val="0"/>
          <w:numId w:val="8"/>
        </w:numPr>
      </w:pPr>
      <w:r>
        <w:t xml:space="preserve">Writing Elevation — </w:t>
      </w:r>
      <w:r w:rsidRPr="00D21BFB">
        <w:rPr>
          <w:b/>
          <w:bCs/>
        </w:rPr>
        <w:t>WR 227Z recommended</w:t>
      </w:r>
      <w:r>
        <w:t xml:space="preserve"> </w:t>
      </w:r>
    </w:p>
    <w:p w14:paraId="3BEC46AE" w14:textId="66AB3875" w:rsidR="006D5E37" w:rsidRDefault="006D5E37" w:rsidP="006D5E37">
      <w:pPr>
        <w:pStyle w:val="ListParagraph"/>
        <w:numPr>
          <w:ilvl w:val="0"/>
          <w:numId w:val="8"/>
        </w:numPr>
      </w:pPr>
      <w:r>
        <w:t xml:space="preserve">Writing Intensive Curriculum — </w:t>
      </w:r>
      <w:r w:rsidR="00CD24B8">
        <w:t>Take at OSU</w:t>
      </w:r>
    </w:p>
    <w:p w14:paraId="4307EC7A" w14:textId="77777777" w:rsidR="00043C76" w:rsidRDefault="00043C76" w:rsidP="00043C76">
      <w:pPr>
        <w:pStyle w:val="Heading2"/>
      </w:pPr>
      <w:r>
        <w:t>Preparing to transfer</w:t>
      </w:r>
    </w:p>
    <w:p w14:paraId="2207E3B5" w14:textId="397AD099" w:rsidR="00043C76" w:rsidRDefault="00043C76" w:rsidP="00043C76">
      <w:r w:rsidRPr="00B771FA">
        <w:t xml:space="preserve">For Biochemistry &amp; Biophysics </w:t>
      </w:r>
      <w:r w:rsidR="00236516">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23B75300" w14:textId="77777777" w:rsidR="00043C76" w:rsidRPr="00B771FA" w:rsidRDefault="00043C76" w:rsidP="00043C76">
      <w:r>
        <w:t xml:space="preserve">College of Science requires a grade of C- or better in all lower division math, biology and chemistry coursework. </w:t>
      </w:r>
    </w:p>
    <w:p w14:paraId="4AF7DBF9" w14:textId="77777777" w:rsidR="00043C76" w:rsidRPr="00F01D65" w:rsidRDefault="00043C76" w:rsidP="00043C76">
      <w:pPr>
        <w:pStyle w:val="Heading3"/>
      </w:pPr>
      <w:r>
        <w:t>Transfer degrees and maps</w:t>
      </w:r>
    </w:p>
    <w:p w14:paraId="21BEC968" w14:textId="77777777" w:rsidR="00043C76" w:rsidRPr="00B771FA" w:rsidRDefault="00043C76" w:rsidP="00043C76">
      <w:pPr>
        <w:pStyle w:val="ListParagraph"/>
        <w:numPr>
          <w:ilvl w:val="0"/>
          <w:numId w:val="6"/>
        </w:numPr>
      </w:pPr>
      <w:r w:rsidRPr="00F01D65">
        <w:t>Students do not have to complete a transfer degree to transfer to OSU.</w:t>
      </w:r>
    </w:p>
    <w:p w14:paraId="2F416E7A" w14:textId="77777777" w:rsidR="00043C76" w:rsidRDefault="00043C76" w:rsidP="00043C76">
      <w:pPr>
        <w:pStyle w:val="ListParagraph"/>
        <w:numPr>
          <w:ilvl w:val="0"/>
          <w:numId w:val="6"/>
        </w:numPr>
      </w:pPr>
      <w:r w:rsidRPr="00B771FA">
        <w:rPr>
          <w:b/>
          <w:bCs/>
        </w:rPr>
        <w:t>If you’ve completed the Oregon AAOT or ASOT</w:t>
      </w:r>
      <w:r w:rsidRPr="00F01D65">
        <w:t>, all</w:t>
      </w:r>
      <w:r>
        <w:t xml:space="preserve"> lower division Core Ed requirements are considered complete.</w:t>
      </w:r>
    </w:p>
    <w:p w14:paraId="7C381409" w14:textId="77777777" w:rsidR="00043C76" w:rsidRDefault="00043C76" w:rsidP="00043C76">
      <w:pPr>
        <w:pStyle w:val="ListParagraph"/>
        <w:numPr>
          <w:ilvl w:val="0"/>
          <w:numId w:val="6"/>
        </w:numPr>
      </w:pPr>
      <w:r w:rsidRPr="00B771FA">
        <w:rPr>
          <w:b/>
          <w:bCs/>
        </w:rPr>
        <w:t>If you’ve completed a Core Transfer Map or Major Transfer Map</w:t>
      </w:r>
      <w:r>
        <w:t xml:space="preserve">, all lower division Core Ed requirements are considered complete </w:t>
      </w:r>
      <w:r w:rsidRPr="00B771FA">
        <w:t>except</w:t>
      </w:r>
      <w:r>
        <w:t xml:space="preserve"> Difference, Power and Oppression Foundations.</w:t>
      </w:r>
    </w:p>
    <w:p w14:paraId="0E6595AF" w14:textId="77777777" w:rsidR="00043C76" w:rsidRPr="00F01D65" w:rsidRDefault="00043C76" w:rsidP="00043C76">
      <w:pPr>
        <w:pStyle w:val="Heading3"/>
      </w:pPr>
      <w:r>
        <w:t>Additional resources</w:t>
      </w:r>
    </w:p>
    <w:p w14:paraId="6A2C0A27" w14:textId="77777777" w:rsidR="00043C76" w:rsidRPr="00F01D65" w:rsidRDefault="00043C76" w:rsidP="00043C76">
      <w:pPr>
        <w:pStyle w:val="ListParagraph"/>
        <w:numPr>
          <w:ilvl w:val="0"/>
          <w:numId w:val="6"/>
        </w:numPr>
      </w:pPr>
      <w:r w:rsidRPr="00F01D65">
        <w:t xml:space="preserve">Check out the </w:t>
      </w:r>
      <w:hyperlink r:id="rId15" w:history="1">
        <w:r w:rsidRPr="00B771FA">
          <w:rPr>
            <w:rStyle w:val="Hyperlink"/>
          </w:rPr>
          <w:t>Degree Partnership Program</w:t>
        </w:r>
      </w:hyperlink>
      <w:r>
        <w:t xml:space="preserve"> </w:t>
      </w:r>
      <w:r w:rsidR="00B771FA" w:rsidRPr="00B771FA">
        <w:t>to take classes at both OSU and an Oregon community college</w:t>
      </w:r>
      <w:r>
        <w:t>.</w:t>
      </w:r>
    </w:p>
    <w:p w14:paraId="368E611F" w14:textId="77777777" w:rsidR="00043C76" w:rsidRPr="00F01D65" w:rsidRDefault="00043C76" w:rsidP="00043C76">
      <w:pPr>
        <w:pStyle w:val="ListParagraph"/>
        <w:numPr>
          <w:ilvl w:val="0"/>
          <w:numId w:val="6"/>
        </w:numPr>
      </w:pPr>
      <w:r>
        <w:t xml:space="preserve">Review </w:t>
      </w:r>
      <w:hyperlink r:id="rId16" w:history="1">
        <w:r w:rsidRPr="00B771FA">
          <w:rPr>
            <w:rStyle w:val="Hyperlink"/>
          </w:rPr>
          <w:t>admissions information for transfer students</w:t>
        </w:r>
      </w:hyperlink>
      <w:r>
        <w:t>.</w:t>
      </w:r>
    </w:p>
    <w:p w14:paraId="0F30ABC5" w14:textId="77777777" w:rsidR="00043C76" w:rsidRPr="00B771FA" w:rsidRDefault="00043C76" w:rsidP="00043C76">
      <w:pPr>
        <w:pStyle w:val="ListParagraph"/>
        <w:numPr>
          <w:ilvl w:val="0"/>
          <w:numId w:val="6"/>
        </w:numPr>
        <w:rPr>
          <w:u w:val="single"/>
        </w:rPr>
      </w:pPr>
      <w:hyperlink r:id="rId17" w:history="1">
        <w:r w:rsidRPr="00B771FA">
          <w:rPr>
            <w:rStyle w:val="Hyperlink"/>
          </w:rPr>
          <w:t>Schedule a campus tour</w:t>
        </w:r>
      </w:hyperlink>
      <w:r w:rsidRPr="00B46CBF">
        <w:t xml:space="preserve"> and meet with an adviso</w:t>
      </w:r>
      <w:r>
        <w:t xml:space="preserve">r. </w:t>
      </w:r>
    </w:p>
    <w:p w14:paraId="593A5F4F" w14:textId="77777777" w:rsidR="00043C76" w:rsidRPr="00B771FA" w:rsidRDefault="00043C76" w:rsidP="00043C76">
      <w:pPr>
        <w:pStyle w:val="ListParagraph"/>
        <w:numPr>
          <w:ilvl w:val="0"/>
          <w:numId w:val="6"/>
        </w:numPr>
        <w:rPr>
          <w:rStyle w:val="Hyperlink"/>
          <w:color w:val="auto"/>
        </w:rPr>
      </w:pPr>
      <w:r>
        <w:t xml:space="preserve">You can also </w:t>
      </w:r>
      <w:hyperlink r:id="rId18" w:history="1">
        <w:r w:rsidRPr="00B771FA">
          <w:rPr>
            <w:rStyle w:val="Hyperlink"/>
          </w:rPr>
          <w:t>schedule a College of Science</w:t>
        </w:r>
      </w:hyperlink>
      <w:r>
        <w:t xml:space="preserve"> tour to learn more about Science.</w:t>
      </w:r>
    </w:p>
    <w:p w14:paraId="5F9DC7D4" w14:textId="1476B8EF" w:rsidR="00043C76" w:rsidRPr="006D5E37" w:rsidRDefault="0002453F" w:rsidP="0002453F">
      <w:pPr>
        <w:pStyle w:val="ListParagraph"/>
        <w:numPr>
          <w:ilvl w:val="0"/>
          <w:numId w:val="6"/>
        </w:numPr>
      </w:pPr>
      <w:hyperlink r:id="rId19" w:history="1">
        <w:r w:rsidRPr="00706C3A">
          <w:rPr>
            <w:rStyle w:val="Hyperlink"/>
          </w:rPr>
          <w:t>See all transfer student resources.</w:t>
        </w:r>
      </w:hyperlink>
    </w:p>
    <w:sectPr w:rsidR="00043C76" w:rsidRPr="006D5E37" w:rsidSect="00533815">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39A95" w14:textId="77777777" w:rsidR="0066077B" w:rsidRDefault="0066077B" w:rsidP="00D42AC3">
      <w:pPr>
        <w:spacing w:after="0" w:line="240" w:lineRule="auto"/>
      </w:pPr>
      <w:r>
        <w:separator/>
      </w:r>
    </w:p>
  </w:endnote>
  <w:endnote w:type="continuationSeparator" w:id="0">
    <w:p w14:paraId="39DB1317" w14:textId="77777777" w:rsidR="0066077B" w:rsidRDefault="0066077B"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981B4" w14:textId="77777777" w:rsidR="0066077B" w:rsidRDefault="0066077B" w:rsidP="00D42AC3">
      <w:pPr>
        <w:spacing w:after="0" w:line="240" w:lineRule="auto"/>
      </w:pPr>
      <w:r>
        <w:separator/>
      </w:r>
    </w:p>
  </w:footnote>
  <w:footnote w:type="continuationSeparator" w:id="0">
    <w:p w14:paraId="0EFCB402" w14:textId="77777777" w:rsidR="0066077B" w:rsidRDefault="0066077B"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8"/>
  </w:num>
  <w:num w:numId="2" w16cid:durableId="248470449">
    <w:abstractNumId w:val="7"/>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6"/>
  </w:num>
  <w:num w:numId="9"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15305"/>
    <w:rsid w:val="0002453F"/>
    <w:rsid w:val="00034F4E"/>
    <w:rsid w:val="00040A46"/>
    <w:rsid w:val="00043C76"/>
    <w:rsid w:val="00062230"/>
    <w:rsid w:val="00065D30"/>
    <w:rsid w:val="000950D7"/>
    <w:rsid w:val="000F68DD"/>
    <w:rsid w:val="00106E59"/>
    <w:rsid w:val="00107530"/>
    <w:rsid w:val="0011546E"/>
    <w:rsid w:val="001225DB"/>
    <w:rsid w:val="001A4A6F"/>
    <w:rsid w:val="001E0442"/>
    <w:rsid w:val="001F518F"/>
    <w:rsid w:val="00202F49"/>
    <w:rsid w:val="00216856"/>
    <w:rsid w:val="00236516"/>
    <w:rsid w:val="002C662F"/>
    <w:rsid w:val="002D7C30"/>
    <w:rsid w:val="002E10C5"/>
    <w:rsid w:val="00336441"/>
    <w:rsid w:val="00375451"/>
    <w:rsid w:val="00395BFB"/>
    <w:rsid w:val="003A5FC7"/>
    <w:rsid w:val="003B495C"/>
    <w:rsid w:val="003B4BBB"/>
    <w:rsid w:val="003C2EEA"/>
    <w:rsid w:val="00417A30"/>
    <w:rsid w:val="00432356"/>
    <w:rsid w:val="00453121"/>
    <w:rsid w:val="0046572F"/>
    <w:rsid w:val="004C0CD1"/>
    <w:rsid w:val="004F1ADF"/>
    <w:rsid w:val="004F4ACB"/>
    <w:rsid w:val="0052123B"/>
    <w:rsid w:val="00533815"/>
    <w:rsid w:val="00536193"/>
    <w:rsid w:val="005A1E64"/>
    <w:rsid w:val="005A3DD5"/>
    <w:rsid w:val="005F4E08"/>
    <w:rsid w:val="00615D75"/>
    <w:rsid w:val="0063140D"/>
    <w:rsid w:val="0066077B"/>
    <w:rsid w:val="00696D49"/>
    <w:rsid w:val="006D5E37"/>
    <w:rsid w:val="006E585A"/>
    <w:rsid w:val="006E6DAA"/>
    <w:rsid w:val="00700405"/>
    <w:rsid w:val="00712973"/>
    <w:rsid w:val="00716DDB"/>
    <w:rsid w:val="0074720B"/>
    <w:rsid w:val="00750401"/>
    <w:rsid w:val="00771F7E"/>
    <w:rsid w:val="007758ED"/>
    <w:rsid w:val="00795B3C"/>
    <w:rsid w:val="007B1F49"/>
    <w:rsid w:val="007C035D"/>
    <w:rsid w:val="008203AF"/>
    <w:rsid w:val="0085332E"/>
    <w:rsid w:val="0087387F"/>
    <w:rsid w:val="00893503"/>
    <w:rsid w:val="008A367B"/>
    <w:rsid w:val="008A4C2C"/>
    <w:rsid w:val="00982594"/>
    <w:rsid w:val="009A369F"/>
    <w:rsid w:val="009D0A63"/>
    <w:rsid w:val="009D5C56"/>
    <w:rsid w:val="00A07E09"/>
    <w:rsid w:val="00A438E5"/>
    <w:rsid w:val="00B3541C"/>
    <w:rsid w:val="00B37CC3"/>
    <w:rsid w:val="00B44CC6"/>
    <w:rsid w:val="00B74259"/>
    <w:rsid w:val="00B74FD4"/>
    <w:rsid w:val="00B76322"/>
    <w:rsid w:val="00B771FA"/>
    <w:rsid w:val="00BD4E06"/>
    <w:rsid w:val="00BE1D7E"/>
    <w:rsid w:val="00C77923"/>
    <w:rsid w:val="00C87188"/>
    <w:rsid w:val="00CB315A"/>
    <w:rsid w:val="00CB69E2"/>
    <w:rsid w:val="00CD24B8"/>
    <w:rsid w:val="00CD4E02"/>
    <w:rsid w:val="00CD6BF1"/>
    <w:rsid w:val="00CF5429"/>
    <w:rsid w:val="00D02695"/>
    <w:rsid w:val="00D21BFB"/>
    <w:rsid w:val="00D42AC3"/>
    <w:rsid w:val="00D45052"/>
    <w:rsid w:val="00D9313E"/>
    <w:rsid w:val="00DB43C1"/>
    <w:rsid w:val="00DD79A9"/>
    <w:rsid w:val="00DF4B63"/>
    <w:rsid w:val="00E65701"/>
    <w:rsid w:val="00F35B44"/>
    <w:rsid w:val="00F659D9"/>
    <w:rsid w:val="00F81C8A"/>
    <w:rsid w:val="00FE33F0"/>
    <w:rsid w:val="00FF7727"/>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F81C8A"/>
    <w:pPr>
      <w:keepNext/>
      <w:keepLines/>
      <w:spacing w:before="360" w:after="8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1C8A"/>
    <w:rPr>
      <w:rFonts w:asciiTheme="majorHAnsi" w:eastAsiaTheme="majorEastAsia" w:hAnsiTheme="majorHAnsi" w:cstheme="majorBidi"/>
      <w:color w:val="155D7E"/>
      <w:sz w:val="40"/>
      <w:szCs w:val="40"/>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ransferQuestions@oregonstate.edu" TargetMode="External"/><Relationship Id="rId13" Type="http://schemas.openxmlformats.org/officeDocument/2006/relationships/chart" Target="charts/chart1.xml"/><Relationship Id="rId18" Type="http://schemas.openxmlformats.org/officeDocument/2006/relationships/hyperlink" Target="https://science.oregonstate.edu/admissions/college-of-science-tour"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socc.edu/resources/advising-counseling/" TargetMode="External"/><Relationship Id="rId12" Type="http://schemas.openxmlformats.org/officeDocument/2006/relationships/hyperlink" Target="https://catalog.oregonstate.edu/college-departments/science/school-life-sciences/biochemistry-biophysics/biochemistry-biophysics-bs-hbs/" TargetMode="External"/><Relationship Id="rId17" Type="http://schemas.openxmlformats.org/officeDocument/2006/relationships/hyperlink" Target="https://visitosu.oregonstate.edu/visit-campus" TargetMode="External"/><Relationship Id="rId2" Type="http://schemas.openxmlformats.org/officeDocument/2006/relationships/styles" Target="styles.xml"/><Relationship Id="rId16" Type="http://schemas.openxmlformats.org/officeDocument/2006/relationships/hyperlink" Target="https://transfer.oregonstate.edu/applying-oregon-state-university"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talog.oregonstate.edu/college-departments/science/school-life-sciences/biochemistry-biophysics/biochemistry-biophysics-bs-hbs/" TargetMode="External"/><Relationship Id="rId5" Type="http://schemas.openxmlformats.org/officeDocument/2006/relationships/footnotes" Target="footnotes.xml"/><Relationship Id="rId15" Type="http://schemas.openxmlformats.org/officeDocument/2006/relationships/hyperlink" Target="https://partnerships.oregonstate.edu/student-information" TargetMode="External"/><Relationship Id="rId10" Type="http://schemas.openxmlformats.org/officeDocument/2006/relationships/hyperlink" Target="https://biochem.oregonstate.edu/" TargetMode="External"/><Relationship Id="rId19" Type="http://schemas.openxmlformats.org/officeDocument/2006/relationships/hyperlink" Target="https://transfer.oregonstate.edu/" TargetMode="External"/><Relationship Id="rId4" Type="http://schemas.openxmlformats.org/officeDocument/2006/relationships/webSettings" Target="webSettings.xml"/><Relationship Id="rId9" Type="http://schemas.openxmlformats.org/officeDocument/2006/relationships/hyperlink" Target="mailto:sciencesuccess@oregonstate.edu" TargetMode="External"/><Relationship Id="rId14" Type="http://schemas.openxmlformats.org/officeDocument/2006/relationships/hyperlink" Target="https://admissions.oregonstate.edu/core-education-course-articulations-southwestern-oregon-community-college"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a:solidFill>
                          <a:schemeClr val="tx1"/>
                        </a:solidFill>
                      </a:rPr>
                      <a:t>Core Ed</a:t>
                    </a: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4</Pages>
  <Words>957</Words>
  <Characters>5755</Characters>
  <Application>Microsoft Office Word</Application>
  <DocSecurity>0</DocSecurity>
  <Lines>133</Lines>
  <Paragraphs>117</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6595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37</cp:revision>
  <dcterms:created xsi:type="dcterms:W3CDTF">2025-12-11T22:25:00Z</dcterms:created>
  <dcterms:modified xsi:type="dcterms:W3CDTF">2026-02-17T21:42:00Z</dcterms:modified>
  <cp:category/>
</cp:coreProperties>
</file>